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80" w:lineRule="exact"/>
        <w:jc w:val="center"/>
        <w:rPr>
          <w:rFonts w:ascii="黑体" w:hAnsi="宋体" w:eastAsia="黑体"/>
          <w:b/>
          <w:color w:val="000000"/>
          <w:sz w:val="32"/>
          <w:szCs w:val="32"/>
        </w:rPr>
      </w:pPr>
      <w:r>
        <w:rPr>
          <w:rFonts w:hint="eastAsia" w:ascii="黑体" w:hAnsi="宋体" w:eastAsia="黑体"/>
          <w:b/>
          <w:color w:val="000000"/>
          <w:sz w:val="32"/>
          <w:szCs w:val="32"/>
        </w:rPr>
        <w:t>山东大学学生社会实践工作先进集体申报表</w:t>
      </w:r>
    </w:p>
    <w:p>
      <w:pPr>
        <w:autoSpaceDE w:val="0"/>
        <w:autoSpaceDN w:val="0"/>
        <w:adjustRightInd w:val="0"/>
        <w:spacing w:line="480" w:lineRule="exact"/>
        <w:rPr>
          <w:rFonts w:ascii="宋体" w:hAnsi="宋体"/>
          <w:b/>
          <w:bCs/>
          <w:color w:val="000000"/>
          <w:sz w:val="28"/>
          <w:szCs w:val="28"/>
        </w:rPr>
      </w:pPr>
      <w:r>
        <w:rPr>
          <w:rFonts w:hint="eastAsia" w:ascii="宋体" w:hAnsi="宋体"/>
          <w:b/>
          <w:bCs/>
          <w:color w:val="000000"/>
          <w:sz w:val="28"/>
          <w:szCs w:val="28"/>
        </w:rPr>
        <w:t>单位：（盖章）</w:t>
      </w:r>
      <w:r>
        <w:rPr>
          <w:rFonts w:hint="eastAsia" w:ascii="宋体" w:hAnsi="宋体"/>
          <w:color w:val="000000"/>
          <w:szCs w:val="21"/>
        </w:rPr>
        <w:t xml:space="preserve">                               </w:t>
      </w:r>
    </w:p>
    <w:p>
      <w:pPr>
        <w:autoSpaceDE w:val="0"/>
        <w:autoSpaceDN w:val="0"/>
        <w:adjustRightInd w:val="0"/>
        <w:spacing w:line="480" w:lineRule="exact"/>
        <w:rPr>
          <w:rFonts w:ascii="宋体" w:hAnsi="宋体"/>
          <w:b/>
          <w:bCs/>
          <w:color w:val="000000"/>
          <w:sz w:val="32"/>
        </w:rPr>
      </w:pPr>
    </w:p>
    <w:tbl>
      <w:tblPr>
        <w:tblStyle w:val="5"/>
        <w:tblW w:w="9126"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2"/>
        <w:gridCol w:w="1058"/>
        <w:gridCol w:w="6"/>
        <w:gridCol w:w="1919"/>
        <w:gridCol w:w="423"/>
        <w:gridCol w:w="1135"/>
        <w:gridCol w:w="1133"/>
        <w:gridCol w:w="709"/>
        <w:gridCol w:w="19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2" w:hRule="atLeast"/>
          <w:jc w:val="center"/>
        </w:trPr>
        <w:tc>
          <w:tcPr>
            <w:tcW w:w="1846" w:type="dxa"/>
            <w:gridSpan w:val="3"/>
            <w:vMerge w:val="restart"/>
            <w:tcBorders>
              <w:top w:val="single" w:color="auto" w:sz="4" w:space="0"/>
              <w:left w:val="single" w:color="auto" w:sz="4" w:space="0"/>
              <w:right w:val="single" w:color="auto" w:sz="4" w:space="0"/>
            </w:tcBorders>
            <w:vAlign w:val="center"/>
          </w:tcPr>
          <w:p>
            <w:pPr>
              <w:adjustRightInd w:val="0"/>
              <w:snapToGrid w:val="0"/>
              <w:rPr>
                <w:rFonts w:ascii="宋体"/>
                <w:color w:val="000000"/>
                <w:sz w:val="24"/>
              </w:rPr>
            </w:pPr>
          </w:p>
          <w:p>
            <w:pPr>
              <w:adjustRightInd w:val="0"/>
              <w:snapToGrid w:val="0"/>
              <w:ind w:firstLine="241" w:firstLineChars="100"/>
              <w:rPr>
                <w:rFonts w:ascii="宋体"/>
                <w:b/>
                <w:color w:val="000000"/>
                <w:sz w:val="24"/>
              </w:rPr>
            </w:pPr>
            <w:r>
              <w:rPr>
                <w:rFonts w:hint="eastAsia" w:ascii="宋体"/>
                <w:b/>
                <w:color w:val="000000"/>
                <w:sz w:val="24"/>
              </w:rPr>
              <w:t>各类立项</w:t>
            </w:r>
          </w:p>
          <w:p>
            <w:pPr>
              <w:adjustRightInd w:val="0"/>
              <w:snapToGrid w:val="0"/>
              <w:ind w:firstLine="241" w:firstLineChars="100"/>
              <w:rPr>
                <w:rFonts w:ascii="宋体"/>
                <w:color w:val="000000"/>
                <w:sz w:val="24"/>
              </w:rPr>
            </w:pPr>
            <w:r>
              <w:rPr>
                <w:rFonts w:hint="eastAsia" w:ascii="宋体"/>
                <w:b/>
                <w:color w:val="000000"/>
                <w:sz w:val="24"/>
              </w:rPr>
              <w:t>数量统计</w:t>
            </w:r>
          </w:p>
        </w:tc>
        <w:tc>
          <w:tcPr>
            <w:tcW w:w="19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总立项数</w:t>
            </w:r>
            <w:r>
              <w:rPr>
                <w:rFonts w:ascii="宋体"/>
                <w:color w:val="000000"/>
                <w:sz w:val="24"/>
              </w:rPr>
              <w:t> </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省级以上立项数</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参与人数</w:t>
            </w: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配套经费与划拨经费比例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1" w:hRule="atLeast"/>
          <w:jc w:val="center"/>
        </w:trPr>
        <w:tc>
          <w:tcPr>
            <w:tcW w:w="1846" w:type="dxa"/>
            <w:gridSpan w:val="3"/>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p>
        </w:tc>
        <w:tc>
          <w:tcPr>
            <w:tcW w:w="191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b/>
                <w:bCs/>
                <w:color w:val="000000"/>
                <w:sz w:val="24"/>
              </w:rPr>
            </w:pPr>
            <w:r>
              <w:rPr>
                <w:rFonts w:hint="eastAsia" w:ascii="宋体"/>
                <w:color w:val="000000"/>
                <w:sz w:val="24"/>
                <w:lang w:val="en-US" w:eastAsia="zh-CN"/>
              </w:rPr>
              <w:t>29</w:t>
            </w:r>
            <w:r>
              <w:rPr>
                <w:rFonts w:ascii="宋体"/>
                <w:color w:val="000000"/>
                <w:sz w:val="24"/>
              </w:rPr>
              <w:t> </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eastAsia="宋体"/>
                <w:b/>
                <w:bCs/>
                <w:color w:val="000000"/>
                <w:sz w:val="24"/>
                <w:lang w:val="en-US" w:eastAsia="zh-CN"/>
              </w:rPr>
            </w:pPr>
            <w:r>
              <w:rPr>
                <w:rFonts w:hint="eastAsia" w:ascii="宋体"/>
                <w:b/>
                <w:bCs/>
                <w:color w:val="000000"/>
                <w:sz w:val="24"/>
                <w:lang w:val="en-US" w:eastAsia="zh-CN"/>
              </w:rPr>
              <w:t>3</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eastAsia="宋体"/>
                <w:b/>
                <w:bCs/>
                <w:color w:val="000000"/>
                <w:sz w:val="24"/>
                <w:lang w:val="en-US" w:eastAsia="zh-CN"/>
              </w:rPr>
            </w:pPr>
            <w:r>
              <w:rPr>
                <w:rFonts w:hint="eastAsia" w:ascii="宋体"/>
                <w:b/>
                <w:bCs/>
                <w:color w:val="000000"/>
                <w:sz w:val="24"/>
                <w:lang w:val="en-US" w:eastAsia="zh-CN"/>
              </w:rPr>
              <w:t>273</w:t>
            </w:r>
          </w:p>
        </w:tc>
        <w:tc>
          <w:tcPr>
            <w:tcW w:w="19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ascii="宋体"/>
                <w:color w:val="000000"/>
                <w:sz w:val="24"/>
              </w:rPr>
              <w:t> </w:t>
            </w:r>
            <w:r>
              <w:rPr>
                <w:rFonts w:hint="eastAsia" w:ascii="宋体"/>
                <w:color w:val="000000"/>
                <w:sz w:val="24"/>
                <w:lang w:val="en-US" w:eastAsia="zh-CN"/>
              </w:rPr>
              <w:t>10：9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31" w:hRule="atLeast"/>
          <w:jc w:val="center"/>
        </w:trPr>
        <w:tc>
          <w:tcPr>
            <w:tcW w:w="1840" w:type="dxa"/>
            <w:gridSpan w:val="2"/>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b/>
                <w:color w:val="000000"/>
                <w:sz w:val="24"/>
              </w:rPr>
            </w:pPr>
            <w:r>
              <w:rPr>
                <w:rFonts w:hint="eastAsia" w:ascii="宋体"/>
                <w:b/>
                <w:color w:val="000000"/>
                <w:sz w:val="24"/>
              </w:rPr>
              <w:t>获省级以上（含省级）奖励统计</w:t>
            </w:r>
          </w:p>
        </w:tc>
        <w:tc>
          <w:tcPr>
            <w:tcW w:w="234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优秀团队</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优秀指导教师</w:t>
            </w:r>
          </w:p>
        </w:tc>
        <w:tc>
          <w:tcPr>
            <w:tcW w:w="267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r>
              <w:rPr>
                <w:rFonts w:hint="eastAsia" w:ascii="宋体"/>
                <w:color w:val="000000"/>
                <w:sz w:val="24"/>
              </w:rPr>
              <w:t>先进个人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8" w:hRule="atLeast"/>
          <w:jc w:val="center"/>
        </w:trPr>
        <w:tc>
          <w:tcPr>
            <w:tcW w:w="1840" w:type="dxa"/>
            <w:gridSpan w:val="2"/>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b/>
                <w:color w:val="000000"/>
                <w:sz w:val="24"/>
              </w:rPr>
            </w:pPr>
          </w:p>
        </w:tc>
        <w:tc>
          <w:tcPr>
            <w:tcW w:w="234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eastAsia="宋体"/>
                <w:color w:val="000000"/>
                <w:sz w:val="24"/>
                <w:lang w:val="en-US" w:eastAsia="zh-CN"/>
              </w:rPr>
            </w:pPr>
            <w:r>
              <w:rPr>
                <w:rFonts w:hint="eastAsia" w:ascii="宋体"/>
                <w:color w:val="000000"/>
                <w:sz w:val="24"/>
                <w:lang w:val="en-US" w:eastAsia="zh-CN"/>
              </w:rPr>
              <w:t>3</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eastAsia="宋体"/>
                <w:color w:val="000000"/>
                <w:sz w:val="24"/>
                <w:lang w:val="en-US" w:eastAsia="zh-CN"/>
              </w:rPr>
            </w:pPr>
            <w:r>
              <w:rPr>
                <w:rFonts w:hint="eastAsia" w:ascii="宋体"/>
                <w:color w:val="000000"/>
                <w:sz w:val="24"/>
                <w:lang w:val="en-US" w:eastAsia="zh-CN"/>
              </w:rPr>
              <w:t>1</w:t>
            </w:r>
          </w:p>
        </w:tc>
        <w:tc>
          <w:tcPr>
            <w:tcW w:w="267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eastAsia="宋体"/>
                <w:color w:val="000000"/>
                <w:sz w:val="24"/>
                <w:lang w:val="en-US" w:eastAsia="zh-CN"/>
              </w:rPr>
            </w:pPr>
            <w:r>
              <w:rPr>
                <w:rFonts w:hint="eastAsia" w:asci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41"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color w:val="000000"/>
                <w:sz w:val="24"/>
              </w:rPr>
            </w:pPr>
          </w:p>
          <w:p>
            <w:pPr>
              <w:adjustRightInd w:val="0"/>
              <w:snapToGrid w:val="0"/>
              <w:jc w:val="center"/>
              <w:rPr>
                <w:rFonts w:ascii="宋体"/>
                <w:color w:val="000000"/>
                <w:sz w:val="24"/>
              </w:rPr>
            </w:pPr>
          </w:p>
          <w:p>
            <w:pPr>
              <w:adjustRightInd w:val="0"/>
              <w:snapToGrid w:val="0"/>
              <w:rPr>
                <w:rFonts w:ascii="宋体"/>
                <w:color w:val="000000"/>
                <w:sz w:val="24"/>
              </w:rPr>
            </w:pPr>
          </w:p>
          <w:p>
            <w:pPr>
              <w:adjustRightInd w:val="0"/>
              <w:snapToGrid w:val="0"/>
              <w:jc w:val="center"/>
              <w:rPr>
                <w:rFonts w:ascii="宋体"/>
                <w:color w:val="000000"/>
                <w:sz w:val="24"/>
              </w:rPr>
            </w:pPr>
          </w:p>
          <w:p>
            <w:pPr>
              <w:adjustRightInd w:val="0"/>
              <w:snapToGrid w:val="0"/>
              <w:jc w:val="center"/>
              <w:rPr>
                <w:rFonts w:ascii="宋体"/>
                <w:b/>
                <w:color w:val="000000"/>
                <w:sz w:val="24"/>
              </w:rPr>
            </w:pPr>
            <w:r>
              <w:rPr>
                <w:rFonts w:hint="eastAsia" w:ascii="宋体"/>
                <w:b/>
                <w:color w:val="000000"/>
                <w:sz w:val="24"/>
              </w:rPr>
              <w:t>工</w:t>
            </w:r>
          </w:p>
          <w:p>
            <w:pPr>
              <w:adjustRightInd w:val="0"/>
              <w:snapToGrid w:val="0"/>
              <w:jc w:val="center"/>
              <w:rPr>
                <w:rFonts w:ascii="宋体"/>
                <w:b/>
                <w:color w:val="000000"/>
                <w:sz w:val="24"/>
              </w:rPr>
            </w:pPr>
          </w:p>
          <w:p>
            <w:pPr>
              <w:adjustRightInd w:val="0"/>
              <w:snapToGrid w:val="0"/>
              <w:jc w:val="center"/>
              <w:rPr>
                <w:rFonts w:ascii="宋体"/>
                <w:b/>
                <w:color w:val="000000"/>
                <w:sz w:val="24"/>
              </w:rPr>
            </w:pPr>
            <w:r>
              <w:rPr>
                <w:rFonts w:hint="eastAsia" w:ascii="宋体"/>
                <w:b/>
                <w:color w:val="000000"/>
                <w:sz w:val="24"/>
              </w:rPr>
              <w:t>作</w:t>
            </w:r>
          </w:p>
          <w:p>
            <w:pPr>
              <w:adjustRightInd w:val="0"/>
              <w:snapToGrid w:val="0"/>
              <w:jc w:val="center"/>
              <w:rPr>
                <w:rFonts w:ascii="宋体"/>
                <w:b/>
                <w:color w:val="000000"/>
                <w:sz w:val="24"/>
              </w:rPr>
            </w:pPr>
          </w:p>
          <w:p>
            <w:pPr>
              <w:adjustRightInd w:val="0"/>
              <w:snapToGrid w:val="0"/>
              <w:jc w:val="center"/>
              <w:rPr>
                <w:rFonts w:ascii="宋体"/>
                <w:b/>
                <w:color w:val="000000"/>
                <w:sz w:val="24"/>
              </w:rPr>
            </w:pPr>
            <w:r>
              <w:rPr>
                <w:rFonts w:hint="eastAsia" w:ascii="宋体"/>
                <w:b/>
                <w:color w:val="000000"/>
                <w:sz w:val="24"/>
              </w:rPr>
              <w:t>总</w:t>
            </w:r>
          </w:p>
          <w:p>
            <w:pPr>
              <w:adjustRightInd w:val="0"/>
              <w:snapToGrid w:val="0"/>
              <w:jc w:val="center"/>
              <w:rPr>
                <w:rFonts w:ascii="宋体"/>
                <w:b/>
                <w:color w:val="000000"/>
                <w:sz w:val="24"/>
              </w:rPr>
            </w:pPr>
          </w:p>
          <w:p>
            <w:pPr>
              <w:adjustRightInd w:val="0"/>
              <w:snapToGrid w:val="0"/>
              <w:jc w:val="center"/>
              <w:rPr>
                <w:rFonts w:ascii="宋体"/>
                <w:b/>
                <w:color w:val="000000"/>
                <w:sz w:val="24"/>
              </w:rPr>
            </w:pPr>
            <w:r>
              <w:rPr>
                <w:rFonts w:hint="eastAsia" w:ascii="宋体"/>
                <w:b/>
                <w:color w:val="000000"/>
                <w:sz w:val="24"/>
              </w:rPr>
              <w:t>结</w:t>
            </w:r>
          </w:p>
          <w:p>
            <w:pPr>
              <w:adjustRightInd w:val="0"/>
              <w:snapToGrid w:val="0"/>
              <w:jc w:val="center"/>
              <w:rPr>
                <w:rFonts w:ascii="宋体"/>
                <w:b/>
                <w:color w:val="000000"/>
                <w:sz w:val="24"/>
              </w:rPr>
            </w:pPr>
          </w:p>
          <w:p>
            <w:pPr>
              <w:adjustRightInd w:val="0"/>
              <w:snapToGrid w:val="0"/>
              <w:jc w:val="center"/>
              <w:rPr>
                <w:rFonts w:ascii="宋体"/>
                <w:color w:val="000000"/>
                <w:sz w:val="24"/>
              </w:rPr>
            </w:pPr>
          </w:p>
        </w:tc>
        <w:tc>
          <w:tcPr>
            <w:tcW w:w="8344"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b/>
                <w:bCs/>
                <w:color w:val="000000"/>
                <w:sz w:val="24"/>
              </w:rPr>
            </w:pPr>
            <w:r>
              <w:rPr>
                <w:rFonts w:ascii="宋体"/>
                <w:b/>
                <w:bCs/>
                <w:color w:val="000000"/>
                <w:sz w:val="24"/>
              </w:rPr>
              <w:t> </w:t>
            </w:r>
            <w:r>
              <w:rPr>
                <w:rFonts w:hint="eastAsia" w:ascii="宋体"/>
                <w:b/>
                <w:bCs/>
                <w:color w:val="000000"/>
                <w:sz w:val="24"/>
              </w:rPr>
              <w:t>提交201</w:t>
            </w:r>
            <w:r>
              <w:rPr>
                <w:rFonts w:ascii="宋体"/>
                <w:b/>
                <w:bCs/>
                <w:color w:val="000000"/>
                <w:sz w:val="24"/>
              </w:rPr>
              <w:t>6</w:t>
            </w:r>
            <w:r>
              <w:rPr>
                <w:rFonts w:hint="eastAsia" w:ascii="宋体"/>
                <w:b/>
                <w:bCs/>
                <w:color w:val="000000"/>
                <w:sz w:val="24"/>
              </w:rPr>
              <w:t>年度学院社会实践工作总结，总结要突出特色工作、重点工作。</w:t>
            </w:r>
          </w:p>
          <w:p>
            <w:pPr>
              <w:adjustRightInd w:val="0"/>
              <w:snapToGrid w:val="0"/>
              <w:jc w:val="left"/>
              <w:rPr>
                <w:rFonts w:hint="eastAsia" w:ascii="宋体"/>
                <w:b w:val="0"/>
                <w:bCs w:val="0"/>
                <w:color w:val="000000"/>
                <w:sz w:val="24"/>
                <w:szCs w:val="24"/>
                <w:lang w:val="en-US" w:eastAsia="zh-CN"/>
              </w:rPr>
            </w:pPr>
            <w:r>
              <w:rPr>
                <w:rFonts w:hint="eastAsia" w:ascii="宋体"/>
                <w:b w:val="0"/>
                <w:bCs w:val="0"/>
                <w:color w:val="000000"/>
                <w:sz w:val="24"/>
                <w:szCs w:val="24"/>
                <w:lang w:val="en-US" w:eastAsia="zh-CN"/>
              </w:rPr>
              <w:t xml:space="preserve">    2016年度，法学院社会实践活动组织有序，所获成绩突出。虽然学院的学生总数较少，但在学院长期以来形成的良好的社会实践气氛的引导下，学生参与的热情和积极性很高。整体来看，学院形成了暑假社会实践、寒假社会实践以及学期中社会实践三大类别的实践安排。各类别实践的主要内容不同，侧重点也有所不同，但均对增强同学们对社会的接触、了解社会，增强实践能力起到了积极的促进作用。</w:t>
            </w:r>
          </w:p>
          <w:p>
            <w:pPr>
              <w:adjustRightInd w:val="0"/>
              <w:snapToGrid w:val="0"/>
              <w:jc w:val="left"/>
              <w:rPr>
                <w:rFonts w:hint="eastAsia" w:ascii="宋体"/>
                <w:b w:val="0"/>
                <w:bCs w:val="0"/>
                <w:color w:val="000000"/>
                <w:sz w:val="24"/>
                <w:szCs w:val="24"/>
                <w:lang w:val="en-US" w:eastAsia="zh-CN"/>
              </w:rPr>
            </w:pPr>
            <w:r>
              <w:rPr>
                <w:rFonts w:hint="eastAsia" w:ascii="宋体"/>
                <w:b w:val="0"/>
                <w:bCs w:val="0"/>
                <w:color w:val="000000"/>
                <w:sz w:val="24"/>
                <w:szCs w:val="24"/>
                <w:lang w:val="en-US" w:eastAsia="zh-CN"/>
              </w:rPr>
              <w:t xml:space="preserve">    暑期社会实践是法学院社会实践工作的重点。在2016年度的暑期社会实践中，法学院共有各级立项29个，“走访沂蒙老区，薪传革命精神”2016年学生党员暑期实践专项调研团获得省级立项、“派出法庭的位与为”团队获得“调研山东”立项、“调研中国”观察调研团立项，山东大学“法律之风”农村消费者法律维权问题调研团获得“千村行动”立项。学院各年级组队参加的学生人数达273人，分散参加161人，参与人数基本与本科生人数（不含新生）持平，参与率高。各团队的调研课题丰富多样，涉及专业研究、社会热点、短期支教、社会服务等各个方面，均与社会现实有密切联系，研究性强。许多同学也在不同地区分散的进行了实习活动，覆盖面广，起到了很好的锻炼作用。在社会实践评比中，法学院也收获颇丰，其中“小镇大法官——派出法庭的位与为”团队获得了“调研山东”第八届大学生社会调查活动山东大学唯一一个省级一等奖，“调研中国”项目全国二等奖、最佳组织奖、全国十二强；</w:t>
            </w:r>
            <w:bookmarkStart w:id="0" w:name="_GoBack"/>
            <w:bookmarkEnd w:id="0"/>
            <w:r>
              <w:rPr>
                <w:rFonts w:hint="eastAsia" w:ascii="宋体"/>
                <w:b w:val="0"/>
                <w:bCs w:val="0"/>
                <w:color w:val="000000"/>
                <w:sz w:val="24"/>
                <w:szCs w:val="24"/>
                <w:lang w:val="en-US" w:eastAsia="zh-CN"/>
              </w:rPr>
              <w:t>“走访沂蒙老区，薪传革命精神”学生党员调研团获得省级优秀团队。按照学生人数的比例，法学院共有10支团队被评为校级优秀团队，10篇调研报告被评为校级优秀报告，其中，2篇被评为一等，3篇被评为二等，5篇被评为三等。在个人方面，尹上同志被评为省级社会实践优秀指导教师，李彦兵同学被评为省级社会实践先进个人，15名同学被评为校级社会实践先进个人。实践成果丰硕，取得了较好的效果。</w:t>
            </w:r>
          </w:p>
          <w:p>
            <w:pPr>
              <w:adjustRightInd w:val="0"/>
              <w:snapToGrid w:val="0"/>
              <w:jc w:val="left"/>
              <w:rPr>
                <w:rFonts w:hint="eastAsia" w:ascii="宋体"/>
                <w:b w:val="0"/>
                <w:bCs w:val="0"/>
                <w:color w:val="000000"/>
                <w:sz w:val="24"/>
                <w:szCs w:val="24"/>
                <w:lang w:val="en-US" w:eastAsia="zh-CN"/>
              </w:rPr>
            </w:pPr>
            <w:r>
              <w:rPr>
                <w:rFonts w:hint="eastAsia" w:ascii="宋体"/>
                <w:b w:val="0"/>
                <w:bCs w:val="0"/>
                <w:color w:val="000000"/>
                <w:sz w:val="24"/>
                <w:szCs w:val="24"/>
                <w:lang w:val="en-US" w:eastAsia="zh-CN"/>
              </w:rPr>
              <w:t xml:space="preserve">    寒假社会实践是法学院社会实践工作的特色。与其他大多数学院寒假社会实践通常以组织“回访母校”、“家庭角色体验”等项目为主不同，法学院寒假社会实践仍然主要采用与暑假社会实践相同的项目调研的形式，由学院立项，各团队需进行立项答辩、实际调研、调研报告撰写、结项答辩等方面的工作。学院团委会组织进行寒假社会实践的评比，评选院级优秀社会实践团队、院级社会实践先进个人。这一举措起到了良好的效果，参与度极高，大一新生全部参与，大二同学有半数同学参与，高年级同学则以其他形式如实习等同样积极参与实践。通过这一有特色的安排，一方面，使得低年级的同学更早的接触了社会实践，对社会实践的选题、实际调研等环节都有了提前的认识，极大的提高了实践能力，为暑假社会实践的顺利进行打下了坚实基础。另一方面，又提高了同学们参与实践的积极性和兴趣，使同学们了解到了社会实践的魅力所在，传承了法学院优良的实践气氛。</w:t>
            </w:r>
          </w:p>
          <w:p>
            <w:pPr>
              <w:adjustRightInd w:val="0"/>
              <w:snapToGrid w:val="0"/>
              <w:jc w:val="left"/>
              <w:rPr>
                <w:rFonts w:hint="eastAsia" w:ascii="宋体"/>
                <w:b w:val="0"/>
                <w:bCs w:val="0"/>
                <w:color w:val="000000"/>
                <w:sz w:val="24"/>
                <w:szCs w:val="24"/>
                <w:lang w:val="en-US" w:eastAsia="zh-CN"/>
              </w:rPr>
            </w:pPr>
            <w:r>
              <w:rPr>
                <w:rFonts w:hint="eastAsia" w:ascii="宋体"/>
                <w:b w:val="0"/>
                <w:bCs w:val="0"/>
                <w:color w:val="000000"/>
                <w:sz w:val="24"/>
                <w:szCs w:val="24"/>
                <w:lang w:val="en-US" w:eastAsia="zh-CN"/>
              </w:rPr>
              <w:t xml:space="preserve">    学期中社会实践同样开展的较为出色。在学期中，经过多年积累，法学院已经与多个实践地点形成了良好的对接关系，每年均有稳定的实践活动。法学院多次组织了前往盖佳小学、宋刘小学等学校的普法支教活动，组织了固定每周一次的“关爱自闭症儿童”的活动，组织了“12▪5宪法日”普法宣传活动、社区普法活动等多项实践活动。并以法学社团为平台，多次组织了前往济南“盈科”律师事务所的参观活动，多次组织了走进历城区法院、济南市中级人民法院的法庭旁听活动，为学生们提供专业实践的机会。此外，法学院团委还对各班团支部进行指导，各班团支部均组织了相应的实践活动，参与度高，覆盖面广，增强了同学们对社会的接触。</w:t>
            </w:r>
          </w:p>
          <w:p>
            <w:pPr>
              <w:adjustRightInd w:val="0"/>
              <w:snapToGrid w:val="0"/>
              <w:jc w:val="left"/>
              <w:rPr>
                <w:rFonts w:ascii="宋体"/>
                <w:b w:val="0"/>
                <w:bCs w:val="0"/>
                <w:color w:val="000000"/>
                <w:sz w:val="24"/>
                <w:szCs w:val="24"/>
              </w:rPr>
            </w:pPr>
            <w:r>
              <w:rPr>
                <w:rFonts w:hint="eastAsia" w:ascii="宋体"/>
                <w:b w:val="0"/>
                <w:bCs w:val="0"/>
                <w:color w:val="000000"/>
                <w:sz w:val="24"/>
                <w:szCs w:val="24"/>
                <w:lang w:val="en-US" w:eastAsia="zh-CN"/>
              </w:rPr>
              <w:t xml:space="preserve">    此外，在学院社会实践活动中，社会实践经费的报销公平公正，透明度高，未出现任何争议，也较大的缓解了同学们的实践负担。各社会实践团队在实践过程中并未出现任何安全问题，社会实践均能有序、安全的完成。</w:t>
            </w:r>
            <w:r>
              <w:rPr>
                <w:rFonts w:ascii="宋体"/>
                <w:b w:val="0"/>
                <w:bCs w:val="0"/>
                <w:color w:val="000000"/>
                <w:sz w:val="24"/>
                <w:szCs w:val="24"/>
              </w:rPr>
              <w:t> </w:t>
            </w:r>
          </w:p>
          <w:p>
            <w:pPr>
              <w:adjustRightInd w:val="0"/>
              <w:snapToGrid w:val="0"/>
              <w:jc w:val="left"/>
              <w:rPr>
                <w:rFonts w:ascii="宋体"/>
                <w:b w:val="0"/>
                <w:bCs w:val="0"/>
                <w:color w:val="000000"/>
                <w:sz w:val="24"/>
                <w:szCs w:val="24"/>
              </w:rPr>
            </w:pPr>
            <w:r>
              <w:rPr>
                <w:rFonts w:hint="eastAsia" w:ascii="宋体"/>
                <w:b w:val="0"/>
                <w:bCs w:val="0"/>
                <w:color w:val="000000"/>
                <w:sz w:val="24"/>
                <w:szCs w:val="24"/>
                <w:lang w:val="en-US" w:eastAsia="zh-CN"/>
              </w:rPr>
              <w:t xml:space="preserve">    总体来看，法学院社会实践活动类别分明，规划科学，组织有序，参与度高，成绩突出，实际作用强。既有重点、又有特色，在促进同学们接触社会、了解社会、提高实践能力方面起到了积极作用。</w:t>
            </w:r>
            <w:r>
              <w:rPr>
                <w:rFonts w:ascii="宋体"/>
                <w:b w:val="0"/>
                <w:bCs w:val="0"/>
                <w:color w:val="000000"/>
                <w:sz w:val="24"/>
                <w:szCs w:val="24"/>
              </w:rPr>
              <w:t> </w:t>
            </w:r>
          </w:p>
          <w:p>
            <w:pPr>
              <w:adjustRightInd w:val="0"/>
              <w:snapToGrid w:val="0"/>
              <w:jc w:val="center"/>
              <w:rPr>
                <w:rFonts w:ascii="宋体"/>
                <w:b/>
                <w:bCs/>
                <w:color w:val="000000"/>
                <w:sz w:val="24"/>
              </w:rPr>
            </w:pPr>
            <w:r>
              <w:rPr>
                <w:rFonts w:ascii="宋体"/>
                <w:b/>
                <w:bCs/>
                <w:color w:val="000000"/>
                <w:sz w:val="24"/>
              </w:rPr>
              <w:t> </w:t>
            </w:r>
          </w:p>
          <w:p>
            <w:pPr>
              <w:adjustRightInd w:val="0"/>
              <w:snapToGrid w:val="0"/>
              <w:jc w:val="center"/>
              <w:rPr>
                <w:rFonts w:ascii="宋体"/>
                <w:b/>
                <w:bCs/>
                <w:color w:val="000000"/>
                <w:sz w:val="24"/>
              </w:rPr>
            </w:pPr>
            <w:r>
              <w:rPr>
                <w:rFonts w:ascii="宋体"/>
                <w:b/>
                <w:bCs/>
                <w:color w:val="000000"/>
                <w:sz w:val="24"/>
              </w:rPr>
              <w:t>   </w:t>
            </w:r>
            <w:r>
              <w:rPr>
                <w:rFonts w:hint="eastAsia" w:ascii="宋体"/>
                <w:color w:val="000000"/>
                <w:sz w:val="24"/>
              </w:rPr>
              <w:t xml:space="preserve">                              </w:t>
            </w:r>
          </w:p>
        </w:tc>
      </w:tr>
    </w:tbl>
    <w:p>
      <w:pPr>
        <w:rPr>
          <w:color w:val="000000"/>
          <w:highlight w:val="lightGray"/>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19"/>
    <w:rsid w:val="001F1D13"/>
    <w:rsid w:val="00274E39"/>
    <w:rsid w:val="00731D19"/>
    <w:rsid w:val="00892890"/>
    <w:rsid w:val="0091026D"/>
    <w:rsid w:val="0BB00630"/>
    <w:rsid w:val="0D247C52"/>
    <w:rsid w:val="13CE1664"/>
    <w:rsid w:val="14CC73F3"/>
    <w:rsid w:val="1C932E38"/>
    <w:rsid w:val="47470B34"/>
    <w:rsid w:val="507A10FB"/>
    <w:rsid w:val="6D273241"/>
    <w:rsid w:val="7CBF25CB"/>
    <w:rsid w:val="7F625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Words>
  <Characters>256</Characters>
  <Lines>2</Lines>
  <Paragraphs>1</Paragraphs>
  <ScaleCrop>false</ScaleCrop>
  <LinksUpToDate>false</LinksUpToDate>
  <CharactersWithSpaces>299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2017-04-18T08:44:00Z</dcterms:created>
  <dc:creator>SDUJSZX</dc:creator>
  <cp:lastModifiedBy>user</cp:lastModifiedBy>
  <dcterms:modified xsi:type="dcterms:W3CDTF">2017-04-19T02:58:50Z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